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BC" w:rsidRPr="009472BC" w:rsidRDefault="009472BC" w:rsidP="009472BC">
      <w:pPr>
        <w:spacing w:after="0" w:line="240" w:lineRule="auto"/>
        <w:ind w:firstLine="200"/>
        <w:rPr>
          <w:rFonts w:ascii="Verdana" w:eastAsia="Times New Roman" w:hAnsi="Verdana" w:cs="Times New Roman"/>
          <w:sz w:val="21"/>
          <w:szCs w:val="21"/>
        </w:rPr>
      </w:pPr>
      <w:bookmarkStart w:id="0" w:name="_GoBack"/>
      <w:bookmarkEnd w:id="0"/>
      <w:r w:rsidRPr="009472BC">
        <w:rPr>
          <w:rFonts w:ascii="Verdana" w:eastAsia="Times New Roman" w:hAnsi="Verdana" w:cs="Times New Roman"/>
          <w:sz w:val="21"/>
          <w:szCs w:val="21"/>
        </w:rPr>
        <w:t xml:space="preserve">Section 14102.5 is added to the </w:t>
      </w:r>
      <w:r w:rsidRPr="009472BC">
        <w:rPr>
          <w:rFonts w:ascii="Verdana" w:eastAsia="Times New Roman" w:hAnsi="Verdana" w:cs="Times New Roman"/>
          <w:i/>
          <w:iCs/>
          <w:sz w:val="21"/>
          <w:szCs w:val="21"/>
        </w:rPr>
        <w:t>Welfare and Institutions Code</w:t>
      </w:r>
      <w:r w:rsidRPr="009472BC">
        <w:rPr>
          <w:rFonts w:ascii="Verdana" w:eastAsia="Times New Roman" w:hAnsi="Verdana" w:cs="Times New Roman"/>
          <w:sz w:val="21"/>
          <w:szCs w:val="21"/>
        </w:rPr>
        <w:t>, to read:</w:t>
      </w:r>
    </w:p>
    <w:p w:rsidR="009472BC" w:rsidRPr="009472BC" w:rsidRDefault="009472BC" w:rsidP="009472BC">
      <w:pPr>
        <w:spacing w:after="0" w:line="240" w:lineRule="auto"/>
        <w:ind w:firstLine="200"/>
        <w:outlineLvl w:val="2"/>
        <w:rPr>
          <w:rFonts w:ascii="Verdana" w:eastAsia="Times New Roman" w:hAnsi="Verdana" w:cs="Times New Roman"/>
          <w:sz w:val="21"/>
          <w:szCs w:val="21"/>
        </w:rPr>
      </w:pPr>
      <w:r w:rsidRPr="009472BC">
        <w:rPr>
          <w:rFonts w:ascii="Verdana" w:eastAsia="Times New Roman" w:hAnsi="Verdana" w:cs="Times New Roman"/>
          <w:sz w:val="21"/>
          <w:szCs w:val="21"/>
        </w:rPr>
        <w:t xml:space="preserve">14102.5. </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department shall, in collaboration with the Exchange, the counties, consumer advocates, and the Statewide Automated Welfare System consortia, develop and prepare one or more reports that shall be issued on at least a quarterly basis and shall be made publicly available within 30 days following the end of each quarter, for the purpose of informing the California Health and Human Services Agency, the Exchange, the Legislature, and the public about the enrollment process for all insurance affordability programs. The reports shall comply with federal reporting requirements and shall, at a minimum, include the following information, to be derived from, as appropriate depending on the data element, CalHEERS, MEDS, or the Statewide Automated Welfare System: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(1</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For applications received for insurance affordability programs through any venue,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applications received through each venue.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applicants included on those applications.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Applicant demographics, including, but not limited to, gender, age, race, ethnicity, and primary language.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(D</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disposition of applications, including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w:t>
      </w:r>
      <w:proofErr w:type="spellStart"/>
      <w:proofErr w:type="gramStart"/>
      <w:r w:rsidRPr="009472BC">
        <w:rPr>
          <w:rFonts w:ascii="Verdana" w:eastAsia="Times New Roman" w:hAnsi="Verdana" w:cs="Times New Roman"/>
          <w:sz w:val="21"/>
          <w:szCs w:val="21"/>
        </w:rPr>
        <w:t>i</w:t>
      </w:r>
      <w:proofErr w:type="spellEnd"/>
      <w:proofErr w:type="gramEnd"/>
      <w:r w:rsidRPr="009472BC">
        <w:rPr>
          <w:rFonts w:ascii="Verdana" w:eastAsia="Times New Roman" w:hAnsi="Verdana" w:cs="Times New Roman"/>
          <w:sz w:val="21"/>
          <w:szCs w:val="21"/>
        </w:rPr>
        <w:t>)</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eligibility determinations that resulted in an approval for coverage.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(ii</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program or programs for which the individuals in clause (</w:t>
      </w:r>
      <w:proofErr w:type="spellStart"/>
      <w:r w:rsidRPr="009472BC">
        <w:rPr>
          <w:rFonts w:ascii="Verdana" w:eastAsia="Times New Roman" w:hAnsi="Verdana" w:cs="Times New Roman"/>
          <w:sz w:val="21"/>
          <w:szCs w:val="21"/>
        </w:rPr>
        <w:t>i</w:t>
      </w:r>
      <w:proofErr w:type="spellEnd"/>
      <w:r w:rsidRPr="009472BC">
        <w:rPr>
          <w:rFonts w:ascii="Verdana" w:eastAsia="Times New Roman" w:hAnsi="Verdana" w:cs="Times New Roman"/>
          <w:sz w:val="21"/>
          <w:szCs w:val="21"/>
        </w:rPr>
        <w:t>) were determined eligible.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w:t>
      </w:r>
      <w:proofErr w:type="gramStart"/>
      <w:r w:rsidRPr="009472BC">
        <w:rPr>
          <w:rFonts w:ascii="Verdana" w:eastAsia="Times New Roman" w:hAnsi="Verdana" w:cs="Times New Roman"/>
          <w:sz w:val="21"/>
          <w:szCs w:val="21"/>
        </w:rPr>
        <w:t>iii</w:t>
      </w:r>
      <w:proofErr w:type="gramEnd"/>
      <w:r w:rsidRPr="009472BC">
        <w:rPr>
          <w:rFonts w:ascii="Verdana" w:eastAsia="Times New Roman" w:hAnsi="Verdana" w:cs="Times New Roman"/>
          <w:sz w:val="21"/>
          <w:szCs w:val="21"/>
        </w:rPr>
        <w:t>)</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applications that were denied for any coverage and the reason or reasons for the denials.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(E</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days for eligibility determinations to be completed.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(2</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With regard to health plan selection,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health plans that are selected by applicants enrolled in an insurance affordability program, reported by the program.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number of </w:t>
      </w:r>
      <w:proofErr w:type="spellStart"/>
      <w:r w:rsidRPr="009472BC">
        <w:rPr>
          <w:rFonts w:ascii="Verdana" w:eastAsia="Times New Roman" w:hAnsi="Verdana" w:cs="Times New Roman"/>
          <w:sz w:val="21"/>
          <w:szCs w:val="21"/>
        </w:rPr>
        <w:t>Medi</w:t>
      </w:r>
      <w:proofErr w:type="spellEnd"/>
      <w:r w:rsidRPr="009472BC">
        <w:rPr>
          <w:rFonts w:ascii="Verdana" w:eastAsia="Times New Roman" w:hAnsi="Verdana" w:cs="Times New Roman"/>
          <w:sz w:val="21"/>
          <w:szCs w:val="21"/>
        </w:rPr>
        <w:t>-Cal enrollees who do not select a health plan but are defaulted into a plan.</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(3</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For annual redeterminations conducted for beneficiaries,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processed.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that resulted in continued eligibility for the same insurance affordability program.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that resulted in a change in eligibility to a different insurance affordability program.</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(D</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redeterminations that resulted in a finding of ineligibility for any program and the reason or reasons for the findings of ineligibility.</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(E</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days for redeterminations to be completed.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(4</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With regard to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 xml:space="preserve"> not related to a redetermination of eligibility, all of the following:</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(A</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number of beneficiary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reasons for the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The number of </w:t>
      </w:r>
      <w:proofErr w:type="spellStart"/>
      <w:r w:rsidRPr="009472BC">
        <w:rPr>
          <w:rFonts w:ascii="Verdana" w:eastAsia="Times New Roman" w:hAnsi="Verdana" w:cs="Times New Roman"/>
          <w:sz w:val="21"/>
          <w:szCs w:val="21"/>
        </w:rPr>
        <w:t>disenrollments</w:t>
      </w:r>
      <w:proofErr w:type="spellEnd"/>
      <w:r w:rsidRPr="009472BC">
        <w:rPr>
          <w:rFonts w:ascii="Verdana" w:eastAsia="Times New Roman" w:hAnsi="Verdana" w:cs="Times New Roman"/>
          <w:sz w:val="21"/>
          <w:szCs w:val="21"/>
        </w:rPr>
        <w:t xml:space="preserve"> that are caused by an individual </w:t>
      </w:r>
      <w:proofErr w:type="spellStart"/>
      <w:r w:rsidRPr="009472BC">
        <w:rPr>
          <w:rFonts w:ascii="Verdana" w:eastAsia="Times New Roman" w:hAnsi="Verdana" w:cs="Times New Roman"/>
          <w:sz w:val="21"/>
          <w:szCs w:val="21"/>
        </w:rPr>
        <w:t>disenrolling</w:t>
      </w:r>
      <w:proofErr w:type="spellEnd"/>
      <w:r w:rsidRPr="009472BC">
        <w:rPr>
          <w:rFonts w:ascii="Verdana" w:eastAsia="Times New Roman" w:hAnsi="Verdana" w:cs="Times New Roman"/>
          <w:sz w:val="21"/>
          <w:szCs w:val="21"/>
        </w:rPr>
        <w:t xml:space="preserve"> from one insurance affordability program and enrolling into another.</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(5</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number of applications for insurance affordability programs that were filed with the help of an assister or navigator.</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(6</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total number of grievances and appeals filed by applicants and enrollees regarding eligibility for insurance affordability programs, the basis for the grievance, and the outcomes of the appeals.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lastRenderedPageBreak/>
        <w:t>(b</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The department shall collect the information necessary for these reports and develop these reports using data obtained from the Statewide Automated Welfare System, CalHEERS, MEDS, and any other appropriate state information management systems.</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(c</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For purposes of this section, the following definitions shall apply:</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(1</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“CalHEERS” means the California Healthcare Eligibility, Enrollment, and Retention System developed under Section 15926.</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(2</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“Exchange” means the California Health Benefit Exchange established pursuant to Title 22 (commencing with Section 100500) of the Government Code.</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(3</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“Statewide Automated Welfare System” means the system developed pursuant to Section 10823.</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(4</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 xml:space="preserve">“MEDS” means the </w:t>
      </w:r>
      <w:proofErr w:type="spellStart"/>
      <w:r w:rsidRPr="009472BC">
        <w:rPr>
          <w:rFonts w:ascii="Verdana" w:eastAsia="Times New Roman" w:hAnsi="Verdana" w:cs="Times New Roman"/>
          <w:sz w:val="21"/>
          <w:szCs w:val="21"/>
        </w:rPr>
        <w:t>Medi</w:t>
      </w:r>
      <w:proofErr w:type="spellEnd"/>
      <w:r w:rsidRPr="009472BC">
        <w:rPr>
          <w:rFonts w:ascii="Verdana" w:eastAsia="Times New Roman" w:hAnsi="Verdana" w:cs="Times New Roman"/>
          <w:sz w:val="21"/>
          <w:szCs w:val="21"/>
        </w:rPr>
        <w:t>-Cal Eligibility Data System that is maintained by the department.</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(d)</w:t>
      </w:r>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Notwithstanding Chapter 3.5 (commencing with Section 11340) of Part 1 of Division 3 of Title 2 of the Government Code, the department, without taking any further regulatory action, shall implement, interpret, or make specific this section by means of all-county letters, plan letters, plan or provider bulletins, or similar instructions until the time regulations are adopted. Thereafter, the department shall adopt regulations in accordance with the requirements of Chapter 3.5 (commencing with Section 11340) of Part 1 of Division 3 of Title 2 of the Government Code. Beginning six months after the effective date of this section, and notwithstanding Section 10231.5 of the Government Code, the department shall provide a status report to the Legislature on a semiannual basis until regulations have been adopted.</w:t>
      </w:r>
    </w:p>
    <w:p w:rsidR="009472BC" w:rsidRPr="009472BC" w:rsidRDefault="009472BC" w:rsidP="009472BC">
      <w:pPr>
        <w:spacing w:after="0" w:line="240" w:lineRule="auto"/>
        <w:ind w:firstLine="200"/>
        <w:rPr>
          <w:rFonts w:ascii="Verdana" w:eastAsia="Times New Roman" w:hAnsi="Verdana" w:cs="Times New Roman"/>
          <w:sz w:val="21"/>
          <w:szCs w:val="21"/>
        </w:rPr>
      </w:pPr>
      <w:r w:rsidRPr="009472BC">
        <w:rPr>
          <w:rFonts w:ascii="Verdana" w:eastAsia="Times New Roman" w:hAnsi="Verdana" w:cs="Times New Roman"/>
          <w:sz w:val="21"/>
          <w:szCs w:val="21"/>
        </w:rPr>
        <w:t>(e</w:t>
      </w:r>
      <w:proofErr w:type="gramStart"/>
      <w:r w:rsidRPr="009472BC">
        <w:rPr>
          <w:rFonts w:ascii="Verdana" w:eastAsia="Times New Roman" w:hAnsi="Verdana" w:cs="Times New Roman"/>
          <w:sz w:val="21"/>
          <w:szCs w:val="21"/>
        </w:rPr>
        <w:t>)</w:t>
      </w:r>
      <w:proofErr w:type="gramEnd"/>
      <w:r w:rsidRPr="009472BC">
        <w:rPr>
          <w:rFonts w:ascii="Verdana" w:eastAsia="Times New Roman" w:hAnsi="Verdana" w:cs="Times New Roman"/>
          <w:sz w:val="21"/>
          <w:szCs w:val="21"/>
        </w:rPr>
        <w:t> </w:t>
      </w:r>
      <w:r w:rsidRPr="009472BC">
        <w:rPr>
          <w:rFonts w:ascii="Verdana" w:eastAsia="Times New Roman" w:hAnsi="Verdana" w:cs="Times New Roman"/>
          <w:sz w:val="21"/>
          <w:szCs w:val="21"/>
        </w:rPr>
        <w:t>This section shall become operative on January 1, 2014.</w:t>
      </w:r>
    </w:p>
    <w:p w:rsidR="009472BC" w:rsidRPr="009472BC" w:rsidRDefault="009472BC" w:rsidP="009472BC">
      <w:pPr>
        <w:spacing w:after="0" w:line="240" w:lineRule="auto"/>
        <w:ind w:firstLine="200"/>
        <w:outlineLvl w:val="2"/>
        <w:rPr>
          <w:rFonts w:ascii="Verdana" w:eastAsia="Times New Roman" w:hAnsi="Verdana" w:cs="Times New Roman"/>
          <w:sz w:val="21"/>
          <w:szCs w:val="21"/>
        </w:rPr>
      </w:pPr>
      <w:proofErr w:type="gramStart"/>
      <w:r w:rsidRPr="009472BC">
        <w:rPr>
          <w:rFonts w:ascii="Verdana" w:eastAsia="Times New Roman" w:hAnsi="Verdana" w:cs="Times New Roman"/>
          <w:sz w:val="21"/>
          <w:szCs w:val="21"/>
        </w:rPr>
        <w:t>SEC. 25.</w:t>
      </w:r>
      <w:proofErr w:type="gramEnd"/>
      <w:r w:rsidRPr="009472BC">
        <w:rPr>
          <w:rFonts w:ascii="Verdana" w:eastAsia="Times New Roman" w:hAnsi="Verdana" w:cs="Times New Roman"/>
          <w:sz w:val="21"/>
          <w:szCs w:val="21"/>
        </w:rPr>
        <w:t xml:space="preserve"> </w:t>
      </w:r>
    </w:p>
    <w:p w:rsidR="00370CFB" w:rsidRDefault="00370CFB"/>
    <w:sectPr w:rsidR="00370C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7C" w:rsidRDefault="0011427C" w:rsidP="009472BC">
      <w:pPr>
        <w:spacing w:after="0" w:line="240" w:lineRule="auto"/>
      </w:pPr>
      <w:r>
        <w:separator/>
      </w:r>
    </w:p>
  </w:endnote>
  <w:endnote w:type="continuationSeparator" w:id="0">
    <w:p w:rsidR="0011427C" w:rsidRDefault="0011427C" w:rsidP="0094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7C" w:rsidRDefault="0011427C" w:rsidP="009472BC">
      <w:pPr>
        <w:spacing w:after="0" w:line="240" w:lineRule="auto"/>
      </w:pPr>
      <w:r>
        <w:separator/>
      </w:r>
    </w:p>
  </w:footnote>
  <w:footnote w:type="continuationSeparator" w:id="0">
    <w:p w:rsidR="0011427C" w:rsidRDefault="0011427C" w:rsidP="00947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BC" w:rsidRPr="00C32F2A" w:rsidRDefault="009472BC" w:rsidP="00C32F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2A" w:rsidRDefault="00C32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BC"/>
    <w:rsid w:val="0011427C"/>
    <w:rsid w:val="003226E7"/>
    <w:rsid w:val="00370CFB"/>
    <w:rsid w:val="004B66F5"/>
    <w:rsid w:val="0058383E"/>
    <w:rsid w:val="006F286E"/>
    <w:rsid w:val="00813C40"/>
    <w:rsid w:val="009472BC"/>
    <w:rsid w:val="00B178D9"/>
    <w:rsid w:val="00C32F2A"/>
    <w:rsid w:val="00C76EF2"/>
    <w:rsid w:val="00CB60AD"/>
    <w:rsid w:val="00D27282"/>
    <w:rsid w:val="00D36943"/>
    <w:rsid w:val="00DE2C17"/>
    <w:rsid w:val="00E8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72BC"/>
    <w:pPr>
      <w:spacing w:before="100" w:beforeAutospacing="1" w:after="100" w:afterAutospacing="1" w:line="240" w:lineRule="auto"/>
      <w:jc w:val="center"/>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B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72BC"/>
    <w:pPr>
      <w:spacing w:after="0" w:line="240" w:lineRule="auto"/>
      <w:ind w:firstLine="20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472BC"/>
    <w:rPr>
      <w:i/>
      <w:iCs/>
    </w:rPr>
  </w:style>
  <w:style w:type="paragraph" w:styleId="Header">
    <w:name w:val="header"/>
    <w:basedOn w:val="Normal"/>
    <w:link w:val="HeaderChar"/>
    <w:uiPriority w:val="99"/>
    <w:unhideWhenUsed/>
    <w:rsid w:val="0094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2BC"/>
  </w:style>
  <w:style w:type="paragraph" w:styleId="Footer">
    <w:name w:val="footer"/>
    <w:basedOn w:val="Normal"/>
    <w:link w:val="FooterChar"/>
    <w:uiPriority w:val="99"/>
    <w:unhideWhenUsed/>
    <w:rsid w:val="0094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2BC"/>
  </w:style>
  <w:style w:type="paragraph" w:styleId="BalloonText">
    <w:name w:val="Balloon Text"/>
    <w:basedOn w:val="Normal"/>
    <w:link w:val="BalloonTextChar"/>
    <w:uiPriority w:val="99"/>
    <w:semiHidden/>
    <w:unhideWhenUsed/>
    <w:rsid w:val="0094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BC"/>
    <w:rPr>
      <w:rFonts w:ascii="Tahoma" w:hAnsi="Tahoma" w:cs="Tahoma"/>
      <w:sz w:val="16"/>
      <w:szCs w:val="16"/>
    </w:rPr>
  </w:style>
  <w:style w:type="character" w:styleId="CommentReference">
    <w:name w:val="annotation reference"/>
    <w:basedOn w:val="DefaultParagraphFont"/>
    <w:uiPriority w:val="99"/>
    <w:semiHidden/>
    <w:unhideWhenUsed/>
    <w:rsid w:val="006F286E"/>
    <w:rPr>
      <w:sz w:val="16"/>
      <w:szCs w:val="16"/>
    </w:rPr>
  </w:style>
  <w:style w:type="paragraph" w:styleId="CommentText">
    <w:name w:val="annotation text"/>
    <w:basedOn w:val="Normal"/>
    <w:link w:val="CommentTextChar"/>
    <w:uiPriority w:val="99"/>
    <w:semiHidden/>
    <w:unhideWhenUsed/>
    <w:rsid w:val="006F286E"/>
    <w:pPr>
      <w:spacing w:line="240" w:lineRule="auto"/>
    </w:pPr>
    <w:rPr>
      <w:sz w:val="20"/>
      <w:szCs w:val="20"/>
    </w:rPr>
  </w:style>
  <w:style w:type="character" w:customStyle="1" w:styleId="CommentTextChar">
    <w:name w:val="Comment Text Char"/>
    <w:basedOn w:val="DefaultParagraphFont"/>
    <w:link w:val="CommentText"/>
    <w:uiPriority w:val="99"/>
    <w:semiHidden/>
    <w:rsid w:val="006F286E"/>
    <w:rPr>
      <w:sz w:val="20"/>
      <w:szCs w:val="20"/>
    </w:rPr>
  </w:style>
  <w:style w:type="paragraph" w:styleId="CommentSubject">
    <w:name w:val="annotation subject"/>
    <w:basedOn w:val="CommentText"/>
    <w:next w:val="CommentText"/>
    <w:link w:val="CommentSubjectChar"/>
    <w:uiPriority w:val="99"/>
    <w:semiHidden/>
    <w:unhideWhenUsed/>
    <w:rsid w:val="006F286E"/>
    <w:rPr>
      <w:b/>
      <w:bCs/>
    </w:rPr>
  </w:style>
  <w:style w:type="character" w:customStyle="1" w:styleId="CommentSubjectChar">
    <w:name w:val="Comment Subject Char"/>
    <w:basedOn w:val="CommentTextChar"/>
    <w:link w:val="CommentSubject"/>
    <w:uiPriority w:val="99"/>
    <w:semiHidden/>
    <w:rsid w:val="006F28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72BC"/>
    <w:pPr>
      <w:spacing w:before="100" w:beforeAutospacing="1" w:after="100" w:afterAutospacing="1" w:line="240" w:lineRule="auto"/>
      <w:jc w:val="center"/>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B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72BC"/>
    <w:pPr>
      <w:spacing w:after="0" w:line="240" w:lineRule="auto"/>
      <w:ind w:firstLine="20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472BC"/>
    <w:rPr>
      <w:i/>
      <w:iCs/>
    </w:rPr>
  </w:style>
  <w:style w:type="paragraph" w:styleId="Header">
    <w:name w:val="header"/>
    <w:basedOn w:val="Normal"/>
    <w:link w:val="HeaderChar"/>
    <w:uiPriority w:val="99"/>
    <w:unhideWhenUsed/>
    <w:rsid w:val="0094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2BC"/>
  </w:style>
  <w:style w:type="paragraph" w:styleId="Footer">
    <w:name w:val="footer"/>
    <w:basedOn w:val="Normal"/>
    <w:link w:val="FooterChar"/>
    <w:uiPriority w:val="99"/>
    <w:unhideWhenUsed/>
    <w:rsid w:val="0094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2BC"/>
  </w:style>
  <w:style w:type="paragraph" w:styleId="BalloonText">
    <w:name w:val="Balloon Text"/>
    <w:basedOn w:val="Normal"/>
    <w:link w:val="BalloonTextChar"/>
    <w:uiPriority w:val="99"/>
    <w:semiHidden/>
    <w:unhideWhenUsed/>
    <w:rsid w:val="00947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BC"/>
    <w:rPr>
      <w:rFonts w:ascii="Tahoma" w:hAnsi="Tahoma" w:cs="Tahoma"/>
      <w:sz w:val="16"/>
      <w:szCs w:val="16"/>
    </w:rPr>
  </w:style>
  <w:style w:type="character" w:styleId="CommentReference">
    <w:name w:val="annotation reference"/>
    <w:basedOn w:val="DefaultParagraphFont"/>
    <w:uiPriority w:val="99"/>
    <w:semiHidden/>
    <w:unhideWhenUsed/>
    <w:rsid w:val="006F286E"/>
    <w:rPr>
      <w:sz w:val="16"/>
      <w:szCs w:val="16"/>
    </w:rPr>
  </w:style>
  <w:style w:type="paragraph" w:styleId="CommentText">
    <w:name w:val="annotation text"/>
    <w:basedOn w:val="Normal"/>
    <w:link w:val="CommentTextChar"/>
    <w:uiPriority w:val="99"/>
    <w:semiHidden/>
    <w:unhideWhenUsed/>
    <w:rsid w:val="006F286E"/>
    <w:pPr>
      <w:spacing w:line="240" w:lineRule="auto"/>
    </w:pPr>
    <w:rPr>
      <w:sz w:val="20"/>
      <w:szCs w:val="20"/>
    </w:rPr>
  </w:style>
  <w:style w:type="character" w:customStyle="1" w:styleId="CommentTextChar">
    <w:name w:val="Comment Text Char"/>
    <w:basedOn w:val="DefaultParagraphFont"/>
    <w:link w:val="CommentText"/>
    <w:uiPriority w:val="99"/>
    <w:semiHidden/>
    <w:rsid w:val="006F286E"/>
    <w:rPr>
      <w:sz w:val="20"/>
      <w:szCs w:val="20"/>
    </w:rPr>
  </w:style>
  <w:style w:type="paragraph" w:styleId="CommentSubject">
    <w:name w:val="annotation subject"/>
    <w:basedOn w:val="CommentText"/>
    <w:next w:val="CommentText"/>
    <w:link w:val="CommentSubjectChar"/>
    <w:uiPriority w:val="99"/>
    <w:semiHidden/>
    <w:unhideWhenUsed/>
    <w:rsid w:val="006F286E"/>
    <w:rPr>
      <w:b/>
      <w:bCs/>
    </w:rPr>
  </w:style>
  <w:style w:type="character" w:customStyle="1" w:styleId="CommentSubjectChar">
    <w:name w:val="Comment Subject Char"/>
    <w:basedOn w:val="CommentTextChar"/>
    <w:link w:val="CommentSubject"/>
    <w:uiPriority w:val="99"/>
    <w:semiHidden/>
    <w:rsid w:val="006F28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04314">
      <w:bodyDiv w:val="1"/>
      <w:marLeft w:val="0"/>
      <w:marRight w:val="0"/>
      <w:marTop w:val="0"/>
      <w:marBottom w:val="0"/>
      <w:divBdr>
        <w:top w:val="none" w:sz="0" w:space="0" w:color="auto"/>
        <w:left w:val="none" w:sz="0" w:space="0" w:color="auto"/>
        <w:bottom w:val="none" w:sz="0" w:space="0" w:color="auto"/>
        <w:right w:val="none" w:sz="0" w:space="0" w:color="auto"/>
      </w:divBdr>
      <w:divsChild>
        <w:div w:id="359821360">
          <w:marLeft w:val="0"/>
          <w:marRight w:val="0"/>
          <w:marTop w:val="0"/>
          <w:marBottom w:val="0"/>
          <w:divBdr>
            <w:top w:val="none" w:sz="0" w:space="0" w:color="auto"/>
            <w:left w:val="none" w:sz="0" w:space="0" w:color="auto"/>
            <w:bottom w:val="none" w:sz="0" w:space="0" w:color="auto"/>
            <w:right w:val="none" w:sz="0" w:space="0" w:color="auto"/>
          </w:divBdr>
          <w:divsChild>
            <w:div w:id="369427914">
              <w:marLeft w:val="0"/>
              <w:marRight w:val="0"/>
              <w:marTop w:val="0"/>
              <w:marBottom w:val="0"/>
              <w:divBdr>
                <w:top w:val="none" w:sz="0" w:space="0" w:color="auto"/>
                <w:left w:val="none" w:sz="0" w:space="0" w:color="auto"/>
                <w:bottom w:val="none" w:sz="0" w:space="0" w:color="auto"/>
                <w:right w:val="none" w:sz="0" w:space="0" w:color="auto"/>
              </w:divBdr>
              <w:divsChild>
                <w:div w:id="1887640805">
                  <w:marLeft w:val="0"/>
                  <w:marRight w:val="0"/>
                  <w:marTop w:val="0"/>
                  <w:marBottom w:val="0"/>
                  <w:divBdr>
                    <w:top w:val="none" w:sz="0" w:space="0" w:color="auto"/>
                    <w:left w:val="none" w:sz="0" w:space="0" w:color="auto"/>
                    <w:bottom w:val="none" w:sz="0" w:space="0" w:color="auto"/>
                    <w:right w:val="none" w:sz="0" w:space="0" w:color="auto"/>
                  </w:divBdr>
                  <w:divsChild>
                    <w:div w:id="1041788995">
                      <w:marLeft w:val="0"/>
                      <w:marRight w:val="0"/>
                      <w:marTop w:val="0"/>
                      <w:marBottom w:val="0"/>
                      <w:divBdr>
                        <w:top w:val="none" w:sz="0" w:space="0" w:color="auto"/>
                        <w:left w:val="none" w:sz="0" w:space="0" w:color="auto"/>
                        <w:bottom w:val="none" w:sz="0" w:space="0" w:color="auto"/>
                        <w:right w:val="none" w:sz="0" w:space="0" w:color="auto"/>
                      </w:divBdr>
                      <w:divsChild>
                        <w:div w:id="14124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9</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f5af4bf0-d008-4813-9299-aeb1bb7d7a99</TermId>
        </TermInfo>
      </Terms>
    </o68eaf9243684232b2418c37bbb152dc>
    <Abstract xmlns="69bc34b3-1921-46c7-8c7a-d18363374b4b">2-Assembly_BillNo1-Section_14102_5</Abstract>
    <PublishingContactName xmlns="http://schemas.microsoft.com/sharepoint/v3">Director's Office</PublishingContactName>
    <TAGAge xmlns="69bc34b3-1921-46c7-8c7a-d18363374b4b" xsi:nil="true"/>
    <_dlc_DocId xmlns="69bc34b3-1921-46c7-8c7a-d18363374b4b">DHCSDOC-1797567310-603</_dlc_DocId>
    <_dlc_DocIdUrl xmlns="69bc34b3-1921-46c7-8c7a-d18363374b4b">
      <Url>http://dhcsgovstaging:88/_layouts/15/DocIdRedir.aspx?ID=DHCSDOC-1797567310-603</Url>
      <Description>DHCSDOC-1797567310-603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13617C-7E40-4DA3-AE33-3ACC82364B19}"/>
</file>

<file path=customXml/itemProps2.xml><?xml version="1.0" encoding="utf-8"?>
<ds:datastoreItem xmlns:ds="http://schemas.openxmlformats.org/officeDocument/2006/customXml" ds:itemID="{0D71C0BD-3948-4BC1-9A8D-772EC28554C1}"/>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0D3FD78D-E4DE-41B8-86F8-23A9305F51B8}"/>
</file>

<file path=customXml/itemProps5.xml><?xml version="1.0" encoding="utf-8"?>
<ds:datastoreItem xmlns:ds="http://schemas.openxmlformats.org/officeDocument/2006/customXml" ds:itemID="{CFAF1892-E966-4A74-BEE7-60EFF716BBA1}"/>
</file>

<file path=customXml/itemProps6.xml><?xml version="1.0" encoding="utf-8"?>
<ds:datastoreItem xmlns:ds="http://schemas.openxmlformats.org/officeDocument/2006/customXml" ds:itemID="{EB7971ED-F135-4D30-ADAD-E4CAF348B1B4}"/>
</file>

<file path=customXml/itemProps7.xml><?xml version="1.0" encoding="utf-8"?>
<ds:datastoreItem xmlns:ds="http://schemas.openxmlformats.org/officeDocument/2006/customXml" ds:itemID="{180611C4-0578-4EB5-99B7-91DC6A84CD8F}"/>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4123</Characters>
  <Application>Microsoft Office Word</Application>
  <DocSecurity>0</DocSecurity>
  <Lines>34</Lines>
  <Paragraphs>9</Paragraphs>
  <ScaleCrop>false</ScaleCrop>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2-Assembly_BillNo1-Section_14102_5</dc:title>
  <dc:creator/>
  <cp:keywords>2-Assembly_BillNo1-Section_14102_5</cp:keywords>
  <cp:lastModifiedBy/>
  <cp:revision>1</cp:revision>
  <dcterms:created xsi:type="dcterms:W3CDTF">2013-11-20T19:52:00Z</dcterms:created>
  <dcterms:modified xsi:type="dcterms:W3CDTF">2013-11-20T19:52:00Z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3611ec61-7363-40c2-98d8-3b8903f0a9eb</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9;#Director's Office|f5af4bf0-d008-4813-9299-aeb1bb7d7a99</vt:lpwstr>
  </property>
</Properties>
</file>